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0" w:rsidRPr="00804D70" w:rsidRDefault="00804D70" w:rsidP="00804D70">
      <w:pPr>
        <w:widowControl/>
        <w:shd w:val="clear" w:color="auto" w:fill="FFFFFF"/>
        <w:spacing w:before="180" w:after="375" w:line="600" w:lineRule="atLeast"/>
        <w:jc w:val="center"/>
        <w:outlineLvl w:val="1"/>
        <w:rPr>
          <w:rFonts w:ascii="simhei" w:eastAsia="宋体" w:hAnsi="simhei" w:cs="宋体" w:hint="eastAsia"/>
          <w:b/>
          <w:bCs/>
          <w:color w:val="000000"/>
          <w:kern w:val="0"/>
          <w:sz w:val="45"/>
          <w:szCs w:val="45"/>
        </w:rPr>
      </w:pPr>
      <w:r w:rsidRPr="00804D70">
        <w:rPr>
          <w:rFonts w:ascii="simhei" w:eastAsia="宋体" w:hAnsi="simhei" w:cs="宋体"/>
          <w:b/>
          <w:bCs/>
          <w:color w:val="000000"/>
          <w:kern w:val="0"/>
          <w:sz w:val="45"/>
          <w:szCs w:val="45"/>
        </w:rPr>
        <w:t>巴渝彭氏：石柱彭氏概况</w:t>
      </w:r>
    </w:p>
    <w:tbl>
      <w:tblPr>
        <w:tblW w:w="9101" w:type="dxa"/>
        <w:tblCellSpacing w:w="15" w:type="dxa"/>
        <w:tblInd w:w="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804D70" w:rsidRPr="00804D70" w:rsidTr="00804D70">
        <w:trPr>
          <w:tblCellSpacing w:w="15" w:type="dxa"/>
        </w:trPr>
        <w:tc>
          <w:tcPr>
            <w:tcW w:w="9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D70" w:rsidRPr="00804D70" w:rsidRDefault="00804D70" w:rsidP="00804D7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 w:hint="eastAsia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b/>
                <w:bCs/>
                <w:kern w:val="0"/>
                <w:sz w:val="24"/>
                <w:szCs w:val="24"/>
              </w:rPr>
              <w:t>石柱彭氏概况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石柱之地，古为《禹贡》梁州之域。西周、春秋时属巴国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南极黔涪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领地。战国时期先后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分属楚黔中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地。秦至东汉年间以境内七曜山为界分属巴郡、黔中郡和临江县（今忠县）、涪陵县（今彭水县）。三国至十六国成（汉）时期属涪陵郡涪陵县。南北朝至北周分属巴郡（今重庆）、临江郡之临江县（今忠县）。武帝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保定初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属南都郡原阳县〔建德四年改名怀德郡武宁县（今万州武陵镇）〕直至隋代（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618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）。唐武德二年（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619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分浦州（今万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州）之武宁县西界地置南宾县，为石柱建县之始。明洪武八年（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1375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）置石柱宣抚司，始设土司，隶重庆卫。天启元年（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1621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）升为宣抚司，隶虁州府（今奉节）。清乾隆二十六年（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1781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）改土归流，置石柱直隶厅，直隶四川省。民国二年（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1913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）改为石柱县，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隶川东道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，二十四年至三十八年十月先后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隶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四川省第八（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署址酉阳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）、第九（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署址万县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）行政督察专员公署。中华人民共和国成立后，石柱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隶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涪陵专区。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1959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16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日，国务院批准改石砫县为石柱县。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1983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11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13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日，国务院批准成立石柱土家族自治县。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1988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月至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2000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月先后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隶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四川省、重庆市黔江地区（开发区），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2000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7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月直隶重庆市。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石柱县位于重庆市东南部长江南岸，东邻湖北利川市，南依彭水县，西南靠丰都，西北连忠县，北接万州区。县境南北长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98.30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公里，东西宽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56.20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公里，总面积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3012.51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平方公里。县境方斗山、七曜山两大山脉平行排列纵贯全境，形成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两山夹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一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槽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的主要地貌特征。县境群山连绵、重峦叠嶂、峡坝交错、沟壑纵横。最高海拔七曜山大风堡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1934.10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米，最低海拔西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镇陶家坝长江水面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119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米（三峡成库后已抬高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56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米），海拔相对落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lastRenderedPageBreak/>
              <w:t>差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1815.10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米。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石柱地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阜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物华，资源丰富，历史文化丰厚。如种植历史长达千年的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黄莲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，闻名中外。先人留下的文化遗产，如沿溪镇福尔岩的摩岩造像；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黎场乡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砖瓦溪和西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镇中间堡汉墓群；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明末秦良玉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屯兵抗清的万寿寨；千年古镇西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云梯街以及与梁平双桂堂齐名的川东佛教圣地银杏堂等等，享誉省内外。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历为穷乡僻壤的大山狭地，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随着渝沪高速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、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渝沪铁路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，尤其是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汉渝高铁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的开通，石柱经济插上了腾飞的翅膀，龙河、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玉带河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环绕的县城南宾镇，犹如江南大山中的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小香港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，正一日千里地奔向满城流水满城楼的独特胜景。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石柱现辖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12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镇、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乡、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310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村居社区，人口近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60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万，其中有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彭姓人口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约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万，分布较密集的有长江沿岸的西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、王场、沿溪等地，次为金铃、马武、桥头、三汇、龙沙、临溪及县城，其居住历史均在五六百年以上。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镇黄龙溪彭家沟彭希贤支派，历代声名显赫。希贤父可取，明任湖广芦溪知县，传至彭旭、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彭轼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、宗古、時清，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更是四代为宦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，官至府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衙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，名噪一时，传为佳话，曾被收入石柱县志名人录。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石柱彭人光彩录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——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记清亁五品知府彭时清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彭时清，雍正十年（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1733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）生，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字习堂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号右泉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，石柱县西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镇黄龙溪（原属忠县中兴乡）人，忠州野鸭池（石柱王场镇）入川祖彭胜第十三世孙，亁隆庚辰（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1761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）科举人，曾任山东省郯城、寿张知县，精明强悍，卓有政声，前任遗案终年不决者数百件，时清廉其情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一讯结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之。复经廷试，迁任甘肃庆阳知府，一跃成为前清五品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衙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侯。光绪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29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年立于西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班竹园彭氏宗祠的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皇清训封中宪大夫兖州府彭公时清神道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碑，高及丈余（在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lastRenderedPageBreak/>
              <w:t>大跃进中拆毁，现复制），连同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恩荣三代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碑等，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移陈于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0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一三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年新建的王场镇双龙村象岭彭氏宗祠内，以彰其显赫声名。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时清出生于一个崇文向善、功名卓著世家。其父彭宗古，字信亭，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号愚野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，清雍正壬子科举人，历任山东博山、日照、蓬莱、招远、德平知县。任内秉承先父遗志，积七年之功于一役，编著有《临江彭氏族谱》以传；祖父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彭轼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，字汝瞻，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敕赠文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林郎，首任山东登州府蓬莱县知县。当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任满赋职其子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宗古时，谆谆告诫曰：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事君当若亲，爱民当若子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嘱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其守土有责，肝脑涂地。当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轼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老年届八十，最后一次赴鲁探视儿子任职情况返川时，儿奉养银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百金不用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，仅取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十金以行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，由此可见一个老县官言传身教、清贫做人的崇高风范。曾祖父彭旭，字子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旦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敕赠文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林郎，一生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赋性洁素刚直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，学不厌，求闻达，日与花果酬对；高祖父彭泽，字又陶，亦字润之，前川贡生，平生手不释卷，口无恶言，名望乡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梓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；彭泽祖父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彭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可取，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明贡士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，曾任湖广芦溪县知县，可谓一门七代恩荣，功名永继，是何等难得？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时清六岁入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塾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启蒙，由其家教严谨，加之天资聪敏，诗兴初开，常在大人面前吟诵。七岁那年五月初五，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时清见堂嫂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正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忙着包煮粽子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，便跑过去找她要粽子吃。堂嫂为考考他吟诗作对的本事，便说：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我先出一对，要立马对上了才给吃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。时清雅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稚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应道：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你出嘛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！堂嫂于是有板有眼地说出上句：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五月五日五（午）时包粽子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。时清想了想顽皮地笑对：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三哥三嫂三更打糍粑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。堂嫂听出弦外之音，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说弟娃讲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他怪话，便追打时清至宗古面前。当宗古问明缘由后，不但没有责备，反倒笑呵呵地说：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看来，我家又出了一个秀才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！父言果中，时清二十多岁便中举成名，并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由县知到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府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衙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，一时名满临江。他的典故，特别是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幼童吟对趣闻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，至今还在忠、石、万、梁一带民间传为佳话。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时清承袭祖德，清正廉明，敢于担纲，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由县知到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府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衙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，官至五品，名满忠石。一九九四年被石柱县志收入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“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历史名人录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”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中，从而名扬千古。无独有偶，笔者于上世纪六十年代，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lastRenderedPageBreak/>
              <w:t>初读民国《忠县志》，悉彭时清一生诗作颇丰，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惜收入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该志卷八者，只有如下两首：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挽侯兆祥</w:t>
            </w:r>
            <w:r w:rsidRPr="00804D70">
              <w:rPr>
                <w:rFonts w:ascii="宋体" w:eastAsia="宋体" w:hAnsi="宋体" w:cs="宋体"/>
                <w:kern w:val="0"/>
                <w:sz w:val="24"/>
                <w:szCs w:val="24"/>
                <w:vertAlign w:val="superscript"/>
              </w:rPr>
              <w:t>①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（七绝）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滇南转战金川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隈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两次请行亦壮哉。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到底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雄心轻马革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征魂不教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裹尸回。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注</w:t>
            </w:r>
            <w:r w:rsidRPr="00804D70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：侯兆祥，清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乾隆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38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年任忠州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营外委，从征金川（今四川金川县）战役而殉职。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杜节妇诗</w:t>
            </w:r>
            <w:r w:rsidRPr="00804D70">
              <w:rPr>
                <w:rFonts w:ascii="宋体" w:eastAsia="宋体" w:hAnsi="宋体" w:cs="宋体"/>
                <w:kern w:val="0"/>
                <w:sz w:val="24"/>
                <w:szCs w:val="24"/>
                <w:vertAlign w:val="superscript"/>
              </w:rPr>
              <w:t>②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浮云乍卷满庭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霜，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惨目惊魂祇自伤。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绮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阁新灯垂烛泪，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辒车促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辇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断羊肠。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飘零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廿载倚修竹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寂寞三春典素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裳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青史何人堪作传，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白头扶病独归乡。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万叠千山暮霭浮，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栽篱补屋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守荒丘。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了无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婢仆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帝萝蔓，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剩有诗书载石楼。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珠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箔灯残霜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月夜，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翠屏风冷碧梧秋。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center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酸心莫故猿啼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碎，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 xml:space="preserve"> 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隔岸声声是卖愁。</w:t>
            </w:r>
          </w:p>
          <w:p w:rsidR="00804D70" w:rsidRPr="00804D70" w:rsidRDefault="00804D70" w:rsidP="00804D70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注</w:t>
            </w:r>
            <w:r w:rsidRPr="00804D70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：杜节妇，即杜母姓唐氏，江夏人，廿年归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余忠杜工部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七文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于京即为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继室，花烛之夕，工部感暴疾卒，唐扶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榇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（读趁、棺材）返里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终丧后入楚伊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母家，寓竹排巷，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苦节廿</w:t>
            </w:r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lastRenderedPageBreak/>
              <w:t>余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年，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今老矣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！父母俱亡，穷悉日益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嗣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君，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华南往迎归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居，守以成</w:t>
            </w:r>
            <w:proofErr w:type="gramStart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厥</w:t>
            </w:r>
            <w:proofErr w:type="gramEnd"/>
            <w:r w:rsidRPr="00804D70">
              <w:rPr>
                <w:rFonts w:ascii="inherit" w:eastAsia="微软雅黑" w:hAnsi="inherit" w:cs="宋体"/>
                <w:kern w:val="0"/>
                <w:sz w:val="24"/>
                <w:szCs w:val="24"/>
              </w:rPr>
              <w:t>志也。此系作者乃感而赋此。</w:t>
            </w:r>
          </w:p>
        </w:tc>
      </w:tr>
    </w:tbl>
    <w:p w:rsidR="00574D01" w:rsidRDefault="00574D01" w:rsidP="00804D70">
      <w:pPr>
        <w:jc w:val="center"/>
      </w:pPr>
    </w:p>
    <w:sectPr w:rsidR="00574D01" w:rsidSect="00804D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0"/>
    <w:rsid w:val="00574D01"/>
    <w:rsid w:val="008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4D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4D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username">
    <w:name w:val="a_username"/>
    <w:basedOn w:val="a0"/>
    <w:rsid w:val="00804D70"/>
  </w:style>
  <w:style w:type="character" w:styleId="a3">
    <w:name w:val="Hyperlink"/>
    <w:basedOn w:val="a0"/>
    <w:uiPriority w:val="99"/>
    <w:semiHidden/>
    <w:unhideWhenUsed/>
    <w:rsid w:val="00804D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D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04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4D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4D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username">
    <w:name w:val="a_username"/>
    <w:basedOn w:val="a0"/>
    <w:rsid w:val="00804D70"/>
  </w:style>
  <w:style w:type="character" w:styleId="a3">
    <w:name w:val="Hyperlink"/>
    <w:basedOn w:val="a0"/>
    <w:uiPriority w:val="99"/>
    <w:semiHidden/>
    <w:unhideWhenUsed/>
    <w:rsid w:val="00804D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D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0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961418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2019-06-20T08:22:00Z</dcterms:created>
  <dcterms:modified xsi:type="dcterms:W3CDTF">2019-06-20T08:25:00Z</dcterms:modified>
</cp:coreProperties>
</file>